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Manchester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Manchester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Manchester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Manchester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Manchester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Manchester are estimated to have a score of 1-2 on the PGSI (low-risk gambling), whilst </w:t>
      </w:r>
      <w:r w:rsidRPr="00773DF7">
        <w:rPr>
          <w:rFonts w:ascii="Libre Franklin Light" w:hAnsi="Libre Franklin Light" w:cs="Calibri Light"/>
          <w:b/>
          <w:bCs/>
          <w:color w:val="C45911" w:themeColor="accent2" w:themeShade="BF"/>
        </w:rPr>
        <w:t xml:space="preserve">11.3%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44.2% </w:t>
      </w:r>
      <w:r w:rsidRPr="004747BF">
        <w:rPr>
          <w:rFonts w:ascii="Libre Franklin Light" w:eastAsia="Times New Roman" w:hAnsi="Libre Franklin Light" w:cs="Calibri Light"/>
        </w:rPr>
        <w:t xml:space="preserve">of those respondents classified as PGSI 8+ in Manchester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Manchester is estimated to be </w:t>
      </w:r>
      <w:r w:rsidRPr="00773DF7">
        <w:rPr>
          <w:rFonts w:ascii="Libre Franklin Light" w:eastAsia="Times New Roman" w:hAnsi="Libre Franklin Light" w:cs="Calibri Light"/>
          <w:b/>
          <w:bCs/>
          <w:color w:val="C45911" w:themeColor="accent2" w:themeShade="BF"/>
        </w:rPr>
        <w:t xml:space="preserve">£21,756,864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Manchester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Manchester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n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Manchester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n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Manchester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n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Manchester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Manchester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67.3%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Manchester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Manchester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Manchester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£21,756,864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Manchester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£354,384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£7,328,852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£525,013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£147,660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£270,710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£13,130,245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£21,756,864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Manchester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Manchester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35.2%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Manchester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35.2%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Manchester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Manchester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Manchester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E3AC031-0D3D-421B-BF42-1110C97DC9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